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99" w:rsidRDefault="003E4F99" w:rsidP="003E4F99">
      <w:pPr>
        <w:rPr>
          <w:b/>
        </w:rPr>
      </w:pPr>
      <w:r>
        <w:rPr>
          <w:b/>
          <w:noProof/>
        </w:rPr>
        <w:drawing>
          <wp:inline distT="0" distB="0" distL="0" distR="0" wp14:anchorId="4C9BDCF0" wp14:editId="1277B53D">
            <wp:extent cx="3657600" cy="1143000"/>
            <wp:effectExtent l="0" t="0" r="0" b="0"/>
            <wp:docPr id="1" name="Picture 1" descr="JPIC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IC3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A6" w:rsidRDefault="003E4F99" w:rsidP="00BD7CA6">
      <w:pPr>
        <w:ind w:left="5760" w:firstLine="720"/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September 9, 2019</w:t>
      </w:r>
      <w:r w:rsidRPr="00B770ED">
        <w:rPr>
          <w:b/>
          <w:color w:val="002060"/>
          <w:sz w:val="32"/>
          <w:szCs w:val="32"/>
        </w:rPr>
        <w:t xml:space="preserve"> </w:t>
      </w:r>
    </w:p>
    <w:p w:rsidR="00BD7CA6" w:rsidRDefault="00BD7CA6" w:rsidP="00BD7CA6">
      <w:pPr>
        <w:ind w:left="5760" w:firstLine="720"/>
        <w:jc w:val="both"/>
        <w:rPr>
          <w:b/>
          <w:color w:val="002060"/>
          <w:sz w:val="32"/>
          <w:szCs w:val="32"/>
        </w:rPr>
      </w:pPr>
    </w:p>
    <w:p w:rsidR="00BD7CA6" w:rsidRPr="00216AE7" w:rsidRDefault="00BD7CA6" w:rsidP="00216AE7">
      <w:pPr>
        <w:pStyle w:val="NoSpacing"/>
        <w:jc w:val="center"/>
        <w:rPr>
          <w:rFonts w:ascii="Helvetica" w:hAnsi="Helvetica" w:cs="Helvetica"/>
          <w:b/>
          <w:i/>
          <w:color w:val="292929"/>
        </w:rPr>
      </w:pPr>
      <w:r w:rsidRPr="00216AE7">
        <w:rPr>
          <w:rFonts w:ascii="Helvetica" w:hAnsi="Helvetica" w:cs="Helvetica"/>
          <w:b/>
          <w:i/>
          <w:color w:val="292929"/>
        </w:rPr>
        <w:t xml:space="preserve">We have forgotten how to take care of our trees, animals, waters, and land. </w:t>
      </w:r>
    </w:p>
    <w:p w:rsidR="00BD7CA6" w:rsidRPr="00216AE7" w:rsidRDefault="00BD7CA6" w:rsidP="00216AE7">
      <w:pPr>
        <w:pStyle w:val="NoSpacing"/>
        <w:jc w:val="center"/>
        <w:rPr>
          <w:rFonts w:ascii="Helvetica" w:hAnsi="Helvetica" w:cs="Helvetica"/>
          <w:b/>
          <w:i/>
          <w:color w:val="292929"/>
        </w:rPr>
      </w:pPr>
      <w:r w:rsidRPr="00216AE7">
        <w:rPr>
          <w:rFonts w:ascii="Helvetica" w:hAnsi="Helvetica" w:cs="Helvetica"/>
          <w:b/>
          <w:i/>
          <w:color w:val="292929"/>
        </w:rPr>
        <w:t>We have become greedy and disrespected our common home’</w:t>
      </w:r>
    </w:p>
    <w:p w:rsidR="003E4F99" w:rsidRDefault="00BD7CA6" w:rsidP="003E4F99">
      <w:pPr>
        <w:pStyle w:val="NoSpacing"/>
        <w:jc w:val="center"/>
        <w:rPr>
          <w:rFonts w:ascii="Helvetica" w:hAnsi="Helvetica" w:cs="Helvetica"/>
          <w:color w:val="292929"/>
        </w:rPr>
      </w:pPr>
      <w:r>
        <w:rPr>
          <w:rFonts w:ascii="Helvetica" w:hAnsi="Helvetica" w:cs="Helvetica"/>
          <w:color w:val="292929"/>
        </w:rPr>
        <w:t xml:space="preserve"> Cardinal </w:t>
      </w:r>
      <w:proofErr w:type="spellStart"/>
      <w:r>
        <w:rPr>
          <w:rFonts w:ascii="Helvetica" w:hAnsi="Helvetica" w:cs="Helvetica"/>
          <w:color w:val="292929"/>
        </w:rPr>
        <w:t>Tagle</w:t>
      </w:r>
      <w:proofErr w:type="spellEnd"/>
    </w:p>
    <w:p w:rsidR="00846124" w:rsidRDefault="00846124" w:rsidP="003E4F99">
      <w:pPr>
        <w:pStyle w:val="NoSpacing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11659" w:rsidRPr="00E83B4F" w:rsidRDefault="00F11659" w:rsidP="00F11659">
      <w:pPr>
        <w:pStyle w:val="NoSpacing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ind w:left="2880" w:right="1530" w:hanging="162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83B4F">
        <w:rPr>
          <w:rFonts w:ascii="Times New Roman" w:hAnsi="Times New Roman"/>
          <w:b/>
          <w:color w:val="002060"/>
          <w:sz w:val="24"/>
          <w:szCs w:val="24"/>
        </w:rPr>
        <w:t>September</w:t>
      </w:r>
    </w:p>
    <w:p w:rsidR="00002226" w:rsidRDefault="00002226" w:rsidP="00002226">
      <w:pPr>
        <w:pStyle w:val="NoSpacing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ind w:left="2880" w:right="1530" w:hanging="162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Sept.11</w:t>
      </w:r>
      <w:r>
        <w:rPr>
          <w:rFonts w:ascii="Times New Roman" w:hAnsi="Times New Roman"/>
          <w:color w:val="002060"/>
          <w:sz w:val="24"/>
          <w:szCs w:val="24"/>
        </w:rPr>
        <w:tab/>
        <w:t>Anniversary of 9/11/01</w:t>
      </w:r>
    </w:p>
    <w:p w:rsidR="00002226" w:rsidRPr="00002226" w:rsidRDefault="006259E6" w:rsidP="00002226">
      <w:pPr>
        <w:pStyle w:val="NoSpacing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ind w:left="2880" w:right="1530" w:hanging="162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Sept.</w:t>
      </w:r>
      <w:r w:rsidR="00002226">
        <w:rPr>
          <w:rFonts w:ascii="Times New Roman" w:hAnsi="Times New Roman"/>
          <w:color w:val="002060"/>
          <w:sz w:val="24"/>
          <w:szCs w:val="24"/>
        </w:rPr>
        <w:t>14</w:t>
      </w:r>
      <w:r w:rsidR="00002226">
        <w:rPr>
          <w:rFonts w:ascii="Times New Roman" w:hAnsi="Times New Roman"/>
          <w:color w:val="002060"/>
          <w:sz w:val="24"/>
          <w:szCs w:val="24"/>
        </w:rPr>
        <w:tab/>
        <w:t xml:space="preserve">Anniversary of </w:t>
      </w:r>
      <w:r w:rsidR="00002226" w:rsidRPr="00002226">
        <w:rPr>
          <w:rFonts w:ascii="Times New Roman" w:hAnsi="Times New Roman"/>
          <w:i/>
          <w:color w:val="002060"/>
          <w:sz w:val="24"/>
          <w:szCs w:val="24"/>
        </w:rPr>
        <w:t>On Human Work</w:t>
      </w:r>
      <w:r w:rsidR="00002226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="00002226">
        <w:rPr>
          <w:rFonts w:ascii="Times New Roman" w:hAnsi="Times New Roman"/>
          <w:color w:val="002060"/>
          <w:sz w:val="24"/>
          <w:szCs w:val="24"/>
        </w:rPr>
        <w:t>1981 Pope John Paul II</w:t>
      </w:r>
    </w:p>
    <w:p w:rsidR="00002226" w:rsidRDefault="00002226" w:rsidP="00002226">
      <w:pPr>
        <w:pStyle w:val="NoSpacing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ind w:left="2880" w:right="1530" w:hanging="162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Sept. 14-22</w:t>
      </w:r>
      <w:r>
        <w:rPr>
          <w:rFonts w:ascii="Times New Roman" w:hAnsi="Times New Roman"/>
          <w:color w:val="002060"/>
          <w:sz w:val="24"/>
          <w:szCs w:val="24"/>
        </w:rPr>
        <w:tab/>
        <w:t>Nonviolent Week of Action</w:t>
      </w:r>
    </w:p>
    <w:p w:rsidR="00002226" w:rsidRDefault="00002226" w:rsidP="00002226">
      <w:pPr>
        <w:pStyle w:val="NoSpacing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ind w:left="2880" w:right="1530" w:hanging="162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Sept. 18</w:t>
      </w:r>
      <w:r>
        <w:rPr>
          <w:rFonts w:ascii="Times New Roman" w:hAnsi="Times New Roman"/>
          <w:color w:val="002060"/>
          <w:sz w:val="24"/>
          <w:szCs w:val="24"/>
        </w:rPr>
        <w:tab/>
        <w:t>World Water Day</w:t>
      </w:r>
    </w:p>
    <w:p w:rsidR="00002226" w:rsidRDefault="00002226" w:rsidP="00002226">
      <w:pPr>
        <w:pStyle w:val="NoSpacing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ind w:left="2880" w:right="1530" w:hanging="162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Sept</w:t>
      </w:r>
      <w:r w:rsidR="006259E6">
        <w:rPr>
          <w:rFonts w:ascii="Times New Roman" w:hAnsi="Times New Roman"/>
          <w:color w:val="002060"/>
          <w:sz w:val="24"/>
          <w:szCs w:val="24"/>
        </w:rPr>
        <w:t xml:space="preserve">. </w:t>
      </w:r>
      <w:r>
        <w:rPr>
          <w:rFonts w:ascii="Times New Roman" w:hAnsi="Times New Roman"/>
          <w:color w:val="002060"/>
          <w:sz w:val="24"/>
          <w:szCs w:val="24"/>
        </w:rPr>
        <w:t>20</w:t>
      </w:r>
      <w:r>
        <w:rPr>
          <w:rFonts w:ascii="Times New Roman" w:hAnsi="Times New Roman"/>
          <w:color w:val="002060"/>
          <w:sz w:val="24"/>
          <w:szCs w:val="24"/>
        </w:rPr>
        <w:tab/>
        <w:t>Week of Climate Strike</w:t>
      </w:r>
    </w:p>
    <w:p w:rsidR="00002226" w:rsidRDefault="00002226" w:rsidP="00002226">
      <w:pPr>
        <w:pStyle w:val="NoSpacing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ind w:left="2880" w:right="1530" w:hanging="162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Sept. 21</w:t>
      </w:r>
      <w:r>
        <w:rPr>
          <w:rFonts w:ascii="Times New Roman" w:hAnsi="Times New Roman"/>
          <w:color w:val="002060"/>
          <w:sz w:val="24"/>
          <w:szCs w:val="24"/>
        </w:rPr>
        <w:tab/>
        <w:t>International Day of Peace</w:t>
      </w:r>
    </w:p>
    <w:p w:rsidR="00002226" w:rsidRDefault="00002226" w:rsidP="00002226">
      <w:pPr>
        <w:pStyle w:val="NoSpacing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ind w:left="2880" w:right="1530" w:hanging="162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Se</w:t>
      </w:r>
      <w:r w:rsidR="006259E6">
        <w:rPr>
          <w:rFonts w:ascii="Times New Roman" w:hAnsi="Times New Roman"/>
          <w:color w:val="002060"/>
          <w:sz w:val="24"/>
          <w:szCs w:val="24"/>
        </w:rPr>
        <w:t>p</w:t>
      </w:r>
      <w:r>
        <w:rPr>
          <w:rFonts w:ascii="Times New Roman" w:hAnsi="Times New Roman"/>
          <w:color w:val="002060"/>
          <w:sz w:val="24"/>
          <w:szCs w:val="24"/>
        </w:rPr>
        <w:t>t. 26</w:t>
      </w:r>
      <w:r>
        <w:rPr>
          <w:rFonts w:ascii="Times New Roman" w:hAnsi="Times New Roman"/>
          <w:color w:val="002060"/>
          <w:sz w:val="24"/>
          <w:szCs w:val="24"/>
        </w:rPr>
        <w:tab/>
        <w:t>World Environmental Health Day</w:t>
      </w:r>
    </w:p>
    <w:p w:rsidR="00B738A3" w:rsidRDefault="00B738A3" w:rsidP="00002226">
      <w:pPr>
        <w:pStyle w:val="NoSpacing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ind w:left="2880" w:right="1530" w:hanging="162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Sept, 29</w:t>
      </w:r>
      <w:r>
        <w:rPr>
          <w:rFonts w:ascii="Times New Roman" w:hAnsi="Times New Roman"/>
          <w:color w:val="002060"/>
          <w:sz w:val="24"/>
          <w:szCs w:val="24"/>
        </w:rPr>
        <w:tab/>
        <w:t>World Coffee Day</w:t>
      </w:r>
    </w:p>
    <w:p w:rsidR="00B738A3" w:rsidRPr="00E83B4F" w:rsidRDefault="00B738A3" w:rsidP="00E83B4F">
      <w:pPr>
        <w:pStyle w:val="NoSpacing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ind w:left="2880" w:right="1530" w:hanging="16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Sept. 29</w:t>
      </w:r>
      <w:r>
        <w:rPr>
          <w:rFonts w:ascii="Times New Roman" w:hAnsi="Times New Roman"/>
          <w:color w:val="002060"/>
          <w:sz w:val="24"/>
          <w:szCs w:val="24"/>
        </w:rPr>
        <w:tab/>
        <w:t xml:space="preserve">Rosh Hashanah begins at sunset </w:t>
      </w:r>
    </w:p>
    <w:p w:rsidR="00002226" w:rsidRPr="00B770ED" w:rsidRDefault="00002226" w:rsidP="003E4F99">
      <w:pPr>
        <w:pStyle w:val="NoSpacing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E4F99" w:rsidRPr="00B770ED" w:rsidRDefault="003E4F99" w:rsidP="003E4F99">
      <w:pPr>
        <w:pStyle w:val="NoSpacing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  <w:t xml:space="preserve">      *****************</w:t>
      </w:r>
    </w:p>
    <w:p w:rsidR="003E4F99" w:rsidRDefault="003E4F99" w:rsidP="003E4F99">
      <w:pPr>
        <w:pStyle w:val="NoSpacing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770ED">
        <w:rPr>
          <w:rFonts w:ascii="Times New Roman" w:hAnsi="Times New Roman" w:cs="Times New Roman"/>
          <w:b/>
          <w:color w:val="002060"/>
          <w:sz w:val="32"/>
          <w:szCs w:val="32"/>
        </w:rPr>
        <w:t>TAKING ACTION</w:t>
      </w:r>
    </w:p>
    <w:p w:rsidR="003E4F99" w:rsidRPr="00B770ED" w:rsidRDefault="003E4F99" w:rsidP="003E4F99">
      <w:pPr>
        <w:pStyle w:val="NoSpacing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Be a v</w:t>
      </w:r>
      <w:r w:rsidRPr="00F66EE7">
        <w:rPr>
          <w:rFonts w:ascii="Times New Roman" w:hAnsi="Times New Roman" w:cs="Times New Roman"/>
          <w:b/>
          <w:color w:val="002060"/>
          <w:sz w:val="28"/>
          <w:szCs w:val="28"/>
        </w:rPr>
        <w:t>oice for the voiceless</w:t>
      </w:r>
      <w:r w:rsidRPr="00B770ED">
        <w:rPr>
          <w:rFonts w:ascii="Times New Roman" w:hAnsi="Times New Roman" w:cs="Times New Roman"/>
          <w:b/>
          <w:color w:val="002060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*********************</w:t>
      </w:r>
    </w:p>
    <w:p w:rsidR="00E87B9A" w:rsidRDefault="00E87B9A" w:rsidP="003E4F99">
      <w:pPr>
        <w:pStyle w:val="NoSpacing"/>
        <w:rPr>
          <w:rStyle w:val="Strong"/>
          <w:rFonts w:ascii="Times New Roman" w:hAnsi="Times New Roman" w:cs="Times New Roman"/>
          <w:i/>
          <w:color w:val="000000"/>
          <w:sz w:val="28"/>
          <w:szCs w:val="28"/>
        </w:rPr>
      </w:pPr>
    </w:p>
    <w:p w:rsidR="00E9075F" w:rsidRPr="00E9075F" w:rsidRDefault="00E9075F" w:rsidP="003E4F99">
      <w:pPr>
        <w:pStyle w:val="NoSpacing"/>
        <w:rPr>
          <w:rStyle w:val="Strong"/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r w:rsidRPr="00E9075F">
        <w:rPr>
          <w:rStyle w:val="Strong"/>
          <w:rFonts w:ascii="Times New Roman" w:hAnsi="Times New Roman" w:cs="Times New Roman"/>
          <w:i/>
          <w:color w:val="000000"/>
          <w:sz w:val="28"/>
          <w:szCs w:val="28"/>
        </w:rPr>
        <w:t>International Climate Accountability</w:t>
      </w:r>
    </w:p>
    <w:p w:rsidR="003E4F99" w:rsidRPr="00E9075F" w:rsidRDefault="00E9075F" w:rsidP="003E4F9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9075F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Urge your Senators to support the International Climate Accountability Act (S.1743), </w:t>
      </w:r>
      <w:r w:rsidRPr="00E9075F">
        <w:rPr>
          <w:rFonts w:ascii="Times New Roman" w:hAnsi="Times New Roman" w:cs="Times New Roman"/>
          <w:color w:val="000000"/>
          <w:sz w:val="24"/>
          <w:szCs w:val="24"/>
        </w:rPr>
        <w:t xml:space="preserve">a bipartisan bill </w:t>
      </w:r>
      <w:hyperlink r:id="rId5" w:tgtFrame="_top" w:history="1">
        <w:r w:rsidRPr="00E9075F">
          <w:rPr>
            <w:rStyle w:val="Hyperlink"/>
            <w:rFonts w:ascii="Times New Roman" w:hAnsi="Times New Roman" w:cs="Times New Roman"/>
            <w:b/>
            <w:bCs/>
            <w:color w:val="214269"/>
            <w:sz w:val="24"/>
            <w:szCs w:val="24"/>
          </w:rPr>
          <w:t>co-sponsored by 46 Senators</w:t>
        </w:r>
      </w:hyperlink>
      <w:r w:rsidRPr="00E9075F">
        <w:rPr>
          <w:rFonts w:ascii="Times New Roman" w:hAnsi="Times New Roman" w:cs="Times New Roman"/>
          <w:color w:val="000000"/>
          <w:sz w:val="24"/>
          <w:szCs w:val="24"/>
        </w:rPr>
        <w:t>.   A similar bill in the House of Representatives—the Climate Action Now Act (</w:t>
      </w:r>
      <w:hyperlink r:id="rId6" w:tgtFrame="_top" w:history="1">
        <w:r w:rsidRPr="00E9075F">
          <w:rPr>
            <w:rStyle w:val="Hyperlink"/>
            <w:rFonts w:ascii="Times New Roman" w:hAnsi="Times New Roman" w:cs="Times New Roman"/>
            <w:b/>
            <w:bCs/>
            <w:color w:val="214269"/>
            <w:sz w:val="24"/>
            <w:szCs w:val="24"/>
          </w:rPr>
          <w:t>H.R.9</w:t>
        </w:r>
      </w:hyperlink>
      <w:r w:rsidRPr="00E9075F">
        <w:rPr>
          <w:rStyle w:val="Strong"/>
          <w:rFonts w:ascii="Times New Roman" w:hAnsi="Times New Roman" w:cs="Times New Roman"/>
          <w:color w:val="000000"/>
          <w:sz w:val="24"/>
          <w:szCs w:val="24"/>
        </w:rPr>
        <w:t>)</w:t>
      </w:r>
      <w:r w:rsidRPr="00E9075F">
        <w:rPr>
          <w:rFonts w:ascii="Times New Roman" w:hAnsi="Times New Roman" w:cs="Times New Roman"/>
          <w:color w:val="000000"/>
          <w:sz w:val="24"/>
          <w:szCs w:val="24"/>
        </w:rPr>
        <w:t xml:space="preserve">—passed the House on May </w:t>
      </w:r>
      <w:proofErr w:type="gramStart"/>
      <w:r w:rsidRPr="00E9075F">
        <w:rPr>
          <w:rFonts w:ascii="Times New Roman" w:hAnsi="Times New Roman" w:cs="Times New Roman"/>
          <w:color w:val="000000"/>
          <w:sz w:val="24"/>
          <w:szCs w:val="24"/>
        </w:rPr>
        <w:t>2nd</w:t>
      </w:r>
      <w:proofErr w:type="gramEnd"/>
      <w:r w:rsidRPr="00E9075F">
        <w:rPr>
          <w:rFonts w:ascii="Times New Roman" w:hAnsi="Times New Roman" w:cs="Times New Roman"/>
          <w:color w:val="000000"/>
          <w:sz w:val="24"/>
          <w:szCs w:val="24"/>
        </w:rPr>
        <w:t>, 2019. To learn more and take action click below.</w:t>
      </w:r>
    </w:p>
    <w:p w:rsidR="00E9075F" w:rsidRDefault="00E87B9A" w:rsidP="00E9075F">
      <w:pPr>
        <w:jc w:val="center"/>
        <w:rPr>
          <w:rFonts w:ascii="Trebuchet MS" w:eastAsia="Times New Roman" w:hAnsi="Trebuchet MS"/>
          <w:color w:val="000000"/>
          <w:sz w:val="21"/>
          <w:szCs w:val="21"/>
        </w:rPr>
      </w:pPr>
      <w:hyperlink r:id="rId7" w:history="1">
        <w:r w:rsidR="00E9075F">
          <w:rPr>
            <w:rStyle w:val="Hyperlink"/>
            <w:rFonts w:ascii="inherit" w:eastAsia="Times New Roman" w:hAnsi="inherit"/>
            <w:color w:val="222222"/>
            <w:sz w:val="23"/>
            <w:szCs w:val="23"/>
            <w:u w:val="none"/>
            <w:bdr w:val="single" w:sz="6" w:space="9" w:color="E37C3E" w:frame="1"/>
            <w:shd w:val="clear" w:color="auto" w:fill="E37C3E"/>
          </w:rPr>
          <w:t>TAKE ACTION</w:t>
        </w:r>
      </w:hyperlink>
    </w:p>
    <w:p w:rsidR="00846124" w:rsidRDefault="00846124" w:rsidP="0084612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0C6505" w:rsidRPr="000C6505" w:rsidRDefault="000C6505" w:rsidP="000C650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0C6505">
        <w:rPr>
          <w:rFonts w:ascii="Times New Roman" w:hAnsi="Times New Roman" w:cs="Times New Roman"/>
          <w:b/>
          <w:i/>
          <w:sz w:val="28"/>
          <w:szCs w:val="28"/>
        </w:rPr>
        <w:t>Food is a Human Right</w:t>
      </w:r>
    </w:p>
    <w:p w:rsidR="000C6505" w:rsidRDefault="000C6505" w:rsidP="000C6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505">
        <w:rPr>
          <w:rFonts w:ascii="Times New Roman" w:hAnsi="Times New Roman" w:cs="Times New Roman"/>
          <w:sz w:val="24"/>
          <w:szCs w:val="24"/>
        </w:rPr>
        <w:t>Our faith clearly calls us t</w:t>
      </w:r>
      <w:r>
        <w:rPr>
          <w:rFonts w:ascii="Times New Roman" w:hAnsi="Times New Roman" w:cs="Times New Roman"/>
          <w:sz w:val="24"/>
          <w:szCs w:val="24"/>
        </w:rPr>
        <w:t>o feed the hungry. Last year, NETWORK</w:t>
      </w:r>
      <w:r w:rsidRPr="000C6505">
        <w:rPr>
          <w:rFonts w:ascii="Times New Roman" w:hAnsi="Times New Roman" w:cs="Times New Roman"/>
          <w:sz w:val="24"/>
          <w:szCs w:val="24"/>
        </w:rPr>
        <w:t xml:space="preserve"> worked with Congress to reject cuts to SNAP, our nation's most important food assistance program. NETWORK members helped secure the passage of the bipartisan 2018 Farm Bill, a rare bipartisan success in the 115</w:t>
      </w:r>
      <w:r w:rsidRPr="000C65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C6505">
        <w:rPr>
          <w:rFonts w:ascii="Times New Roman" w:hAnsi="Times New Roman" w:cs="Times New Roman"/>
          <w:sz w:val="24"/>
          <w:szCs w:val="24"/>
        </w:rPr>
        <w:t xml:space="preserve"> Congress.</w:t>
      </w:r>
    </w:p>
    <w:p w:rsidR="000C6505" w:rsidRPr="000C6505" w:rsidRDefault="000C6505" w:rsidP="000C6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50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C6505" w:rsidRDefault="000C6505" w:rsidP="000C6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505">
        <w:rPr>
          <w:rFonts w:ascii="Times New Roman" w:hAnsi="Times New Roman" w:cs="Times New Roman"/>
          <w:sz w:val="24"/>
          <w:szCs w:val="24"/>
        </w:rPr>
        <w:t xml:space="preserve">Now, food assistance is at risk--again. The Trump administration proposed a back-door rule change to implement another SNAP benefits cut, one previously rejected by Congress. </w:t>
      </w:r>
    </w:p>
    <w:p w:rsidR="000C6505" w:rsidRPr="000C6505" w:rsidRDefault="00E87B9A" w:rsidP="000C6505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C6505" w:rsidRPr="00E87B9A">
          <w:rPr>
            <w:rStyle w:val="Strong"/>
            <w:rFonts w:ascii="Times New Roman" w:hAnsi="Times New Roman" w:cs="Times New Roman"/>
            <w:color w:val="C00000"/>
            <w:sz w:val="24"/>
            <w:szCs w:val="24"/>
          </w:rPr>
          <w:t>Oppose this rule by submitting a public comment</w:t>
        </w:r>
        <w:r w:rsidR="000C6505" w:rsidRPr="000C6505">
          <w:rPr>
            <w:rStyle w:val="Strong"/>
            <w:rFonts w:ascii="Times New Roman" w:hAnsi="Times New Roman" w:cs="Times New Roman"/>
            <w:color w:val="3C687E"/>
            <w:sz w:val="24"/>
            <w:szCs w:val="24"/>
          </w:rPr>
          <w:t xml:space="preserve">. </w:t>
        </w:r>
      </w:hyperlink>
    </w:p>
    <w:p w:rsidR="000C6505" w:rsidRDefault="000C6505" w:rsidP="000C6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505" w:rsidRPr="000C6505" w:rsidRDefault="000C6505" w:rsidP="000C65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505">
        <w:rPr>
          <w:rFonts w:ascii="Times New Roman" w:hAnsi="Times New Roman" w:cs="Times New Roman"/>
          <w:sz w:val="24"/>
          <w:szCs w:val="24"/>
        </w:rPr>
        <w:t xml:space="preserve">Currently, states can extend SNAP eligibility to low-income families with modest savings and working households if they also have significant expenses for shelter and </w:t>
      </w:r>
      <w:proofErr w:type="gramStart"/>
      <w:r w:rsidRPr="000C6505">
        <w:rPr>
          <w:rFonts w:ascii="Times New Roman" w:hAnsi="Times New Roman" w:cs="Times New Roman"/>
          <w:sz w:val="24"/>
          <w:szCs w:val="24"/>
        </w:rPr>
        <w:t>child care</w:t>
      </w:r>
      <w:proofErr w:type="gramEnd"/>
      <w:r w:rsidRPr="000C6505">
        <w:rPr>
          <w:rFonts w:ascii="Times New Roman" w:hAnsi="Times New Roman" w:cs="Times New Roman"/>
          <w:sz w:val="24"/>
          <w:szCs w:val="24"/>
        </w:rPr>
        <w:t>. The new U.S. Department of Agriculture (USDA) proposal would eliminate this ability for states to broaden their SNAP eligibility. </w:t>
      </w:r>
    </w:p>
    <w:p w:rsidR="000C6505" w:rsidRDefault="000C6505" w:rsidP="0084612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3E4F99" w:rsidRPr="00846124" w:rsidRDefault="00846124" w:rsidP="0084612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846124">
        <w:rPr>
          <w:rFonts w:ascii="Times New Roman" w:hAnsi="Times New Roman" w:cs="Times New Roman"/>
          <w:b/>
          <w:i/>
          <w:sz w:val="28"/>
          <w:szCs w:val="28"/>
        </w:rPr>
        <w:t>United Nations Climate Week</w:t>
      </w:r>
    </w:p>
    <w:p w:rsidR="00846124" w:rsidRPr="00846124" w:rsidRDefault="00846124" w:rsidP="00846124">
      <w:pPr>
        <w:rPr>
          <w:rFonts w:eastAsia="Times New Roman"/>
        </w:rPr>
      </w:pPr>
      <w:proofErr w:type="gramStart"/>
      <w:r w:rsidRPr="00846124">
        <w:rPr>
          <w:rStyle w:val="header1"/>
          <w:rFonts w:ascii="Times New Roman" w:eastAsia="Times New Roman" w:hAnsi="Times New Roman" w:cs="Times New Roman"/>
          <w:specVanish w:val="0"/>
        </w:rPr>
        <w:t>This</w:t>
      </w:r>
      <w:proofErr w:type="gramEnd"/>
      <w:r w:rsidRPr="00846124">
        <w:rPr>
          <w:rStyle w:val="header1"/>
          <w:rFonts w:ascii="Times New Roman" w:eastAsia="Times New Roman" w:hAnsi="Times New Roman" w:cs="Times New Roman"/>
          <w:specVanish w:val="0"/>
        </w:rPr>
        <w:t xml:space="preserve"> September world leaders will gather for the United Nations' Climate Week. Join us as we call on these leaders to step up and commit to specific climate actions. </w:t>
      </w:r>
    </w:p>
    <w:p w:rsidR="003E4F99" w:rsidRDefault="00E87B9A" w:rsidP="00846124">
      <w:pPr>
        <w:pStyle w:val="NoSpacing"/>
        <w:rPr>
          <w:rFonts w:ascii="Times New Roman" w:hAnsi="Times New Roman" w:cs="Times New Roman"/>
          <w:b/>
          <w:color w:val="002060"/>
          <w:sz w:val="32"/>
          <w:szCs w:val="32"/>
        </w:rPr>
      </w:pPr>
      <w:hyperlink r:id="rId9" w:history="1">
        <w:r w:rsidR="00846124">
          <w:rPr>
            <w:rStyle w:val="Hyperlink"/>
            <w:rFonts w:ascii="Source Sans Pro" w:hAnsi="Source Sans Pro"/>
            <w:b/>
            <w:bCs/>
            <w:color w:val="49A942"/>
            <w:sz w:val="27"/>
            <w:szCs w:val="27"/>
          </w:rPr>
          <w:t>Sign the Pledge</w:t>
        </w:r>
      </w:hyperlink>
    </w:p>
    <w:p w:rsidR="003E4F99" w:rsidRDefault="003E4F99" w:rsidP="003E4F99">
      <w:pPr>
        <w:pStyle w:val="NoSpacing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E7403" w:rsidRPr="00FE7403" w:rsidRDefault="00E87B9A" w:rsidP="00FE7403">
      <w:pPr>
        <w:spacing w:line="300" w:lineRule="atLeast"/>
        <w:rPr>
          <w:rFonts w:eastAsia="Times New Roman"/>
          <w:b/>
          <w:i/>
          <w:sz w:val="28"/>
          <w:szCs w:val="28"/>
        </w:rPr>
      </w:pPr>
      <w:hyperlink r:id="rId10" w:tgtFrame="_blank" w:history="1">
        <w:r w:rsidR="00FE7403" w:rsidRPr="00FE7403">
          <w:rPr>
            <w:rStyle w:val="Hyperlink"/>
            <w:rFonts w:eastAsia="Times New Roman"/>
            <w:b/>
            <w:bCs/>
            <w:i/>
            <w:color w:val="auto"/>
            <w:sz w:val="28"/>
            <w:szCs w:val="28"/>
            <w:u w:val="none"/>
          </w:rPr>
          <w:t>Biodiversity chief urges action to protect global ecosystems</w:t>
        </w:r>
      </w:hyperlink>
      <w:r w:rsidR="00FE7403" w:rsidRPr="00FE7403">
        <w:rPr>
          <w:rFonts w:eastAsia="Times New Roman"/>
          <w:b/>
          <w:i/>
          <w:sz w:val="28"/>
          <w:szCs w:val="28"/>
        </w:rPr>
        <w:t xml:space="preserve"> </w:t>
      </w:r>
    </w:p>
    <w:p w:rsidR="00FE7403" w:rsidRPr="00FE7403" w:rsidRDefault="00FE7403" w:rsidP="00FE7403">
      <w:pPr>
        <w:spacing w:line="300" w:lineRule="atLeast"/>
      </w:pPr>
      <w:r w:rsidRPr="00FE7403">
        <w:rPr>
          <w:rFonts w:eastAsia="Times New Roman"/>
          <w:color w:val="000000"/>
        </w:rPr>
        <w:t xml:space="preserve">The ongoing fires in the Amazon rainforest demonstrate a global environmental crisis that requires governments, businesses and consumers to work toward building a sustainable relationship with nature, says Cristiana </w:t>
      </w:r>
      <w:proofErr w:type="spellStart"/>
      <w:r w:rsidRPr="00FE7403">
        <w:rPr>
          <w:rFonts w:eastAsia="Times New Roman"/>
          <w:color w:val="000000"/>
        </w:rPr>
        <w:t>Pasca</w:t>
      </w:r>
      <w:proofErr w:type="spellEnd"/>
      <w:r w:rsidRPr="00FE7403">
        <w:rPr>
          <w:rFonts w:eastAsia="Times New Roman"/>
          <w:color w:val="000000"/>
        </w:rPr>
        <w:t xml:space="preserve"> Palmer, the executive secretary of the United Nations Convention on Biological Diversity. UN Secretary-General Antonio </w:t>
      </w:r>
      <w:proofErr w:type="spellStart"/>
      <w:r w:rsidRPr="00FE7403">
        <w:rPr>
          <w:rFonts w:eastAsia="Times New Roman"/>
          <w:color w:val="000000"/>
        </w:rPr>
        <w:t>Guterres</w:t>
      </w:r>
      <w:proofErr w:type="spellEnd"/>
      <w:r w:rsidRPr="00FE7403">
        <w:rPr>
          <w:rFonts w:eastAsia="Times New Roman"/>
          <w:color w:val="000000"/>
        </w:rPr>
        <w:t xml:space="preserve"> has called for global support in fighting the Amazon fires and developing a reforestation plan.</w:t>
      </w:r>
      <w:r w:rsidRPr="00FE7403">
        <w:t xml:space="preserve"> For more information click on:</w:t>
      </w:r>
    </w:p>
    <w:p w:rsidR="00FE7403" w:rsidRDefault="00E87B9A" w:rsidP="00FE7403">
      <w:pPr>
        <w:pStyle w:val="NoSpacing"/>
        <w:rPr>
          <w:rStyle w:val="Hyperlink"/>
          <w:rFonts w:ascii="Times New Roman" w:eastAsia="Times New Roman" w:hAnsi="Times New Roman" w:cs="Times New Roman"/>
          <w:b/>
          <w:bCs/>
          <w:color w:val="0079C1"/>
          <w:sz w:val="24"/>
          <w:szCs w:val="24"/>
          <w:u w:val="none"/>
        </w:rPr>
      </w:pPr>
      <w:hyperlink r:id="rId11" w:tgtFrame="_blank" w:history="1">
        <w:r w:rsidR="00FE7403" w:rsidRPr="00FE7403">
          <w:rPr>
            <w:rStyle w:val="Hyperlink"/>
            <w:rFonts w:ascii="Times New Roman" w:eastAsia="Times New Roman" w:hAnsi="Times New Roman" w:cs="Times New Roman"/>
            <w:b/>
            <w:bCs/>
            <w:color w:val="0079C1"/>
            <w:sz w:val="24"/>
            <w:szCs w:val="24"/>
            <w:u w:val="none"/>
          </w:rPr>
          <w:t>Biodiversity chief urges action to protect global ecosystems</w:t>
        </w:r>
      </w:hyperlink>
    </w:p>
    <w:p w:rsidR="00FE7403" w:rsidRPr="00B770ED" w:rsidRDefault="00FE7403" w:rsidP="00FE7403">
      <w:pPr>
        <w:pStyle w:val="NoSpacing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E4F99" w:rsidRPr="00B770ED" w:rsidRDefault="003E4F99" w:rsidP="003E4F99">
      <w:pPr>
        <w:pStyle w:val="NoSpacing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  <w:t xml:space="preserve">    ***************************</w:t>
      </w:r>
    </w:p>
    <w:p w:rsidR="003E4F99" w:rsidRPr="003E3547" w:rsidRDefault="003E4F99" w:rsidP="003E4F99">
      <w:pPr>
        <w:pStyle w:val="NoSpacing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INFORMATION/</w:t>
      </w:r>
      <w:r w:rsidRPr="003E3547">
        <w:rPr>
          <w:rFonts w:ascii="Times New Roman" w:hAnsi="Times New Roman" w:cs="Times New Roman"/>
          <w:b/>
          <w:color w:val="002060"/>
          <w:sz w:val="32"/>
          <w:szCs w:val="32"/>
        </w:rPr>
        <w:t>RESOURCES</w:t>
      </w:r>
    </w:p>
    <w:p w:rsidR="00510045" w:rsidRPr="00216AE7" w:rsidRDefault="003E4F99" w:rsidP="00216AE7">
      <w:pPr>
        <w:rPr>
          <w:b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      </w:t>
      </w:r>
      <w:r w:rsidR="00FE7403">
        <w:rPr>
          <w:b/>
          <w:color w:val="002060"/>
          <w:sz w:val="32"/>
          <w:szCs w:val="32"/>
        </w:rPr>
        <w:t>***************************</w:t>
      </w:r>
    </w:p>
    <w:p w:rsidR="00E71101" w:rsidRPr="00E71101" w:rsidRDefault="00E87B9A" w:rsidP="00E71101">
      <w:pPr>
        <w:spacing w:line="300" w:lineRule="atLeast"/>
        <w:rPr>
          <w:rFonts w:eastAsia="Times New Roman"/>
          <w:i/>
          <w:sz w:val="28"/>
          <w:szCs w:val="28"/>
        </w:rPr>
      </w:pPr>
      <w:hyperlink r:id="rId12" w:tgtFrame="_blank" w:history="1">
        <w:r w:rsidR="00E71101" w:rsidRPr="00E71101">
          <w:rPr>
            <w:rStyle w:val="Hyperlink"/>
            <w:rFonts w:eastAsia="Times New Roman"/>
            <w:b/>
            <w:bCs/>
            <w:i/>
            <w:color w:val="auto"/>
            <w:sz w:val="28"/>
            <w:szCs w:val="28"/>
            <w:u w:val="none"/>
          </w:rPr>
          <w:t>UNEP predicts renewable energy investments to hit $2.6T this year</w:t>
        </w:r>
      </w:hyperlink>
      <w:r w:rsidR="00E71101" w:rsidRPr="00E71101">
        <w:rPr>
          <w:rFonts w:eastAsia="Times New Roman"/>
          <w:i/>
          <w:sz w:val="28"/>
          <w:szCs w:val="28"/>
        </w:rPr>
        <w:t xml:space="preserve"> </w:t>
      </w:r>
    </w:p>
    <w:p w:rsidR="00E71101" w:rsidRPr="00E71101" w:rsidRDefault="00E71101" w:rsidP="00E71101">
      <w:pPr>
        <w:spacing w:line="300" w:lineRule="atLeast"/>
        <w:rPr>
          <w:rFonts w:eastAsia="Times New Roman"/>
        </w:rPr>
      </w:pPr>
      <w:r w:rsidRPr="00E71101">
        <w:rPr>
          <w:rFonts w:eastAsia="Times New Roman"/>
        </w:rPr>
        <w:t xml:space="preserve">Investments in renewable energy sources around the world will likely reach $2.6 trillion and nearly quadruple the world supply of renewable power by the end of 2019, according to a report from the United Nations Environment </w:t>
      </w:r>
      <w:proofErr w:type="spellStart"/>
      <w:r w:rsidRPr="00E71101">
        <w:rPr>
          <w:rFonts w:eastAsia="Times New Roman"/>
        </w:rPr>
        <w:t>Programme</w:t>
      </w:r>
      <w:proofErr w:type="spellEnd"/>
      <w:r w:rsidRPr="00E71101">
        <w:rPr>
          <w:rFonts w:eastAsia="Times New Roman"/>
        </w:rPr>
        <w:t xml:space="preserve">. "Investing in renewable energy is investing in a sustainable and profitable future, as the last decade of incredible growth in renewables has shown," says UNEP head </w:t>
      </w:r>
      <w:proofErr w:type="spellStart"/>
      <w:r w:rsidRPr="00E71101">
        <w:rPr>
          <w:rFonts w:eastAsia="Times New Roman"/>
        </w:rPr>
        <w:t>Inger</w:t>
      </w:r>
      <w:proofErr w:type="spellEnd"/>
      <w:r w:rsidRPr="00E71101">
        <w:rPr>
          <w:rFonts w:eastAsia="Times New Roman"/>
        </w:rPr>
        <w:t xml:space="preserve"> Andersen.</w:t>
      </w:r>
    </w:p>
    <w:p w:rsidR="005742E7" w:rsidRDefault="005742E7" w:rsidP="005742E7">
      <w:pPr>
        <w:spacing w:line="300" w:lineRule="atLeas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10045" w:rsidTr="00510045">
        <w:tc>
          <w:tcPr>
            <w:tcW w:w="0" w:type="auto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510045" w:rsidRPr="00510045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510045" w:rsidRPr="00510045">
                    <w:tc>
                      <w:tcPr>
                        <w:tcW w:w="5000" w:type="pct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510045" w:rsidRPr="0051004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510045" w:rsidRPr="0051004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10045" w:rsidRPr="00510045" w:rsidRDefault="00510045" w:rsidP="00510045">
                                    <w:pPr>
                                      <w:pStyle w:val="NoSpacing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0045" w:rsidRPr="00510045" w:rsidRDefault="00510045" w:rsidP="00510045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10045" w:rsidRPr="00510045" w:rsidRDefault="00510045" w:rsidP="00510045">
                        <w:pPr>
                          <w:pStyle w:val="NoSpacing"/>
                          <w:rPr>
                            <w:rFonts w:ascii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510045" w:rsidRPr="00510045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10045" w:rsidRPr="00510045" w:rsidRDefault="00E87B9A" w:rsidP="00510045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hyperlink r:id="rId13" w:tooltip="Here’s What Afghan Women Have to Say About Peace and Extremism" w:history="1">
                                <w:r w:rsidR="00510045" w:rsidRPr="00510045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auto"/>
                                    <w:sz w:val="28"/>
                                    <w:szCs w:val="28"/>
                                    <w:u w:val="none"/>
                                  </w:rPr>
                                  <w:t>Here’s What Afghan Women Have to Say About Peace and Extremism</w:t>
                                </w:r>
                              </w:hyperlink>
                            </w:p>
                            <w:p w:rsidR="00510045" w:rsidRPr="00510045" w:rsidRDefault="00510045" w:rsidP="00510045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00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Often treated as a monolith, a forthcoming USIP-commissioned study found a diverse range of views among Afghan women on the ongoing peace process, peacebuilding at the local level, extremism, and the barriers they face. </w:t>
                              </w:r>
                              <w:proofErr w:type="gramStart"/>
                              <w:r w:rsidRPr="005100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That’s</w:t>
                              </w:r>
                              <w:proofErr w:type="gramEnd"/>
                              <w:r w:rsidRPr="0051004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why a diverse array of women must be represented in intra-Afghan talks.</w:t>
                              </w:r>
                            </w:p>
                          </w:tc>
                        </w:tr>
                      </w:tbl>
                      <w:p w:rsidR="00510045" w:rsidRPr="00510045" w:rsidRDefault="00510045" w:rsidP="00510045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10045" w:rsidRPr="00510045" w:rsidRDefault="00510045" w:rsidP="0051004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045" w:rsidRDefault="005100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10045" w:rsidRDefault="00510045" w:rsidP="00510045">
      <w:pPr>
        <w:rPr>
          <w:rFonts w:ascii="Arial" w:eastAsia="Times New Roman" w:hAnsi="Arial" w:cs="Arial"/>
          <w:vanish/>
          <w:color w:val="80808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10045" w:rsidTr="0051004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510045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5"/>
                    <w:gridCol w:w="4605"/>
                  </w:tblGrid>
                  <w:tr w:rsidR="00510045">
                    <w:tc>
                      <w:tcPr>
                        <w:tcW w:w="2500" w:type="pct"/>
                        <w:tcMar>
                          <w:top w:w="0" w:type="dxa"/>
                          <w:left w:w="0" w:type="dxa"/>
                          <w:bottom w:w="0" w:type="dxa"/>
                          <w:right w:w="4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60"/>
                        </w:tblGrid>
                        <w:tr w:rsidR="0051004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50" w:type="dxa"/>
                                  <w:left w:w="50" w:type="dxa"/>
                                  <w:bottom w:w="50" w:type="dxa"/>
                                  <w:right w:w="5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60"/>
                              </w:tblGrid>
                              <w:tr w:rsidR="0051004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45"/>
                                    </w:tblGrid>
                                    <w:tr w:rsidR="00510045">
                                      <w:tc>
                                        <w:tcPr>
                                          <w:tcW w:w="0" w:type="auto"/>
                                          <w:shd w:val="clear" w:color="auto" w:fill="C19F53"/>
                                          <w:vAlign w:val="center"/>
                                          <w:hideMark/>
                                        </w:tcPr>
                                        <w:p w:rsidR="00510045" w:rsidRDefault="00E87B9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  <w:hyperlink r:id="rId14" w:tgtFrame="_blank" w:tooltip="Here’s What Afghan Women Have to Say About Peace and Extremism - button" w:history="1">
                                            <w:r w:rsidR="00510045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FFFFFF"/>
                                                <w:u w:val="none"/>
                                                <w:bdr w:val="single" w:sz="6" w:space="8" w:color="C19F53" w:frame="1"/>
                                                <w:shd w:val="clear" w:color="auto" w:fill="C19F53"/>
                                              </w:rPr>
                                              <w:t>Read the blog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10045" w:rsidRDefault="0051004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0045" w:rsidRDefault="0051004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10045" w:rsidRDefault="0051004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0" w:type="pct"/>
                        <w:tcMar>
                          <w:top w:w="0" w:type="dxa"/>
                          <w:left w:w="45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60"/>
                        </w:tblGrid>
                        <w:tr w:rsidR="0051004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60"/>
                              </w:tblGrid>
                              <w:tr w:rsidR="0051004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 w:tblpXSpec="right" w:tblpYSpec="center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18"/>
                                    </w:tblGrid>
                                    <w:tr w:rsidR="0051004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righ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6"/>
                                            <w:gridCol w:w="456"/>
                                            <w:gridCol w:w="306"/>
                                          </w:tblGrid>
                                          <w:tr w:rsidR="00510045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6"/>
                                                </w:tblGrid>
                                                <w:tr w:rsidR="00510045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50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0045" w:rsidRDefault="00510045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80808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0045" w:rsidRDefault="0051004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6"/>
                                                </w:tblGrid>
                                                <w:tr w:rsidR="00510045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50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0045" w:rsidRDefault="00510045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80808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0045" w:rsidRDefault="0051004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6"/>
                                                </w:tblGrid>
                                                <w:tr w:rsidR="00510045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50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10045" w:rsidRDefault="00510045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80808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10045" w:rsidRDefault="00510045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10045" w:rsidRDefault="00510045">
                                          <w:pPr>
                                            <w:jc w:val="right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10045" w:rsidRDefault="0051004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0045" w:rsidRDefault="0051004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10045" w:rsidRDefault="0051004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10045" w:rsidRDefault="0051004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10045" w:rsidRDefault="005100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C41C8" w:rsidTr="002C41C8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41C8" w:rsidRDefault="002C41C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87B9A" w:rsidRDefault="00E87B9A" w:rsidP="00E87B9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E87B9A" w:rsidRPr="00E87B9A" w:rsidRDefault="00E87B9A" w:rsidP="00E87B9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87B9A">
        <w:rPr>
          <w:rFonts w:ascii="Times New Roman" w:hAnsi="Times New Roman" w:cs="Times New Roman"/>
          <w:b/>
          <w:i/>
          <w:sz w:val="28"/>
          <w:szCs w:val="28"/>
        </w:rPr>
        <w:t>A Climate solution that is Right under Our Feet</w:t>
      </w:r>
    </w:p>
    <w:p w:rsidR="00E87B9A" w:rsidRPr="00E87B9A" w:rsidRDefault="00E87B9A" w:rsidP="00E87B9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87B9A">
        <w:rPr>
          <w:rFonts w:ascii="Times New Roman" w:hAnsi="Times New Roman" w:cs="Times New Roman"/>
          <w:sz w:val="24"/>
          <w:szCs w:val="24"/>
        </w:rPr>
        <w:t>There's</w:t>
      </w:r>
      <w:proofErr w:type="gramEnd"/>
      <w:r w:rsidRPr="00E87B9A">
        <w:rPr>
          <w:rFonts w:ascii="Times New Roman" w:hAnsi="Times New Roman" w:cs="Times New Roman"/>
          <w:sz w:val="24"/>
          <w:szCs w:val="24"/>
        </w:rPr>
        <w:t xml:space="preserve"> two times more carbon in the earth's soil than in all of its vegetation and the atmosphere -- combined. Biogeochemist </w:t>
      </w:r>
      <w:proofErr w:type="spellStart"/>
      <w:r w:rsidRPr="00E87B9A">
        <w:rPr>
          <w:rFonts w:ascii="Times New Roman" w:hAnsi="Times New Roman" w:cs="Times New Roman"/>
          <w:sz w:val="24"/>
          <w:szCs w:val="24"/>
        </w:rPr>
        <w:t>Asmeret</w:t>
      </w:r>
      <w:proofErr w:type="spellEnd"/>
      <w:r w:rsidRPr="00E87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B9A">
        <w:rPr>
          <w:rFonts w:ascii="Times New Roman" w:hAnsi="Times New Roman" w:cs="Times New Roman"/>
          <w:sz w:val="24"/>
          <w:szCs w:val="24"/>
        </w:rPr>
        <w:t>Asefaw</w:t>
      </w:r>
      <w:proofErr w:type="spellEnd"/>
      <w:r w:rsidRPr="00E87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B9A">
        <w:rPr>
          <w:rFonts w:ascii="Times New Roman" w:hAnsi="Times New Roman" w:cs="Times New Roman"/>
          <w:sz w:val="24"/>
          <w:szCs w:val="24"/>
        </w:rPr>
        <w:t>Berhe</w:t>
      </w:r>
      <w:proofErr w:type="spellEnd"/>
      <w:r w:rsidRPr="00E87B9A">
        <w:rPr>
          <w:rFonts w:ascii="Times New Roman" w:hAnsi="Times New Roman" w:cs="Times New Roman"/>
          <w:sz w:val="24"/>
          <w:szCs w:val="24"/>
        </w:rPr>
        <w:t xml:space="preserve"> dives into the science of soil and shares how we could use its awesome carbon-trapping power to offset climate change. "[Soil] represents the difference between life and lifelessness in the earth system, and it can also help us combat climate change -- if we can only stop treating it like dirt," she says.</w:t>
      </w:r>
    </w:p>
    <w:tbl>
      <w:tblPr>
        <w:tblW w:w="0" w:type="auto"/>
        <w:shd w:val="clear" w:color="auto" w:fill="2A9A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</w:tblGrid>
      <w:tr w:rsidR="00E87B9A" w:rsidTr="00E87B9A">
        <w:tc>
          <w:tcPr>
            <w:tcW w:w="0" w:type="auto"/>
            <w:shd w:val="clear" w:color="auto" w:fill="B61D1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87B9A" w:rsidRDefault="00E87B9A">
            <w:pPr>
              <w:jc w:val="center"/>
              <w:rPr>
                <w:rFonts w:ascii="Helvetica" w:eastAsia="Times New Roman" w:hAnsi="Helvetica" w:cs="Helvetica"/>
              </w:rPr>
            </w:pPr>
            <w:hyperlink r:id="rId15" w:tgtFrame="_blank" w:history="1">
              <w:r>
                <w:rPr>
                  <w:rStyle w:val="Hyperlink"/>
                  <w:rFonts w:ascii="Helvetica" w:eastAsia="Times New Roman" w:hAnsi="Helvetica" w:cs="Helvetica"/>
                  <w:color w:val="FFFFFF"/>
                </w:rPr>
                <w:t>Watch now »</w:t>
              </w:r>
            </w:hyperlink>
          </w:p>
        </w:tc>
      </w:tr>
    </w:tbl>
    <w:p w:rsidR="00510045" w:rsidRDefault="00510045" w:rsidP="005742E7">
      <w:pPr>
        <w:spacing w:line="300" w:lineRule="atLeast"/>
      </w:pPr>
    </w:p>
    <w:sectPr w:rsidR="00510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99"/>
    <w:rsid w:val="00002226"/>
    <w:rsid w:val="000C6505"/>
    <w:rsid w:val="00216AE7"/>
    <w:rsid w:val="00227F64"/>
    <w:rsid w:val="002C41C8"/>
    <w:rsid w:val="003E4F99"/>
    <w:rsid w:val="00510045"/>
    <w:rsid w:val="005742E7"/>
    <w:rsid w:val="006259E6"/>
    <w:rsid w:val="006C1614"/>
    <w:rsid w:val="00846124"/>
    <w:rsid w:val="00B738A3"/>
    <w:rsid w:val="00BD7CA6"/>
    <w:rsid w:val="00E71101"/>
    <w:rsid w:val="00E83B4F"/>
    <w:rsid w:val="00E87B9A"/>
    <w:rsid w:val="00E9075F"/>
    <w:rsid w:val="00F11659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CEF2"/>
  <w15:chartTrackingRefBased/>
  <w15:docId w15:val="{3C788637-5E98-4AA1-82E9-453E3E95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742E7"/>
    <w:pPr>
      <w:spacing w:before="100" w:beforeAutospacing="1" w:after="100" w:afterAutospacing="1"/>
      <w:outlineLvl w:val="0"/>
    </w:pPr>
    <w:rPr>
      <w:b/>
      <w:bCs/>
      <w:color w:val="80808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4F99"/>
    <w:rPr>
      <w:color w:val="003399"/>
      <w:u w:val="single"/>
    </w:rPr>
  </w:style>
  <w:style w:type="paragraph" w:styleId="NoSpacing">
    <w:name w:val="No Spacing"/>
    <w:uiPriority w:val="1"/>
    <w:qFormat/>
    <w:rsid w:val="003E4F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742E7"/>
    <w:rPr>
      <w:rFonts w:ascii="Times New Roman" w:hAnsi="Times New Roman" w:cs="Times New Roman"/>
      <w:b/>
      <w:bCs/>
      <w:color w:val="80808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742E7"/>
    <w:pPr>
      <w:spacing w:before="240" w:after="240"/>
    </w:pPr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742E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9075F"/>
    <w:rPr>
      <w:b/>
      <w:bCs/>
    </w:rPr>
  </w:style>
  <w:style w:type="character" w:customStyle="1" w:styleId="header1">
    <w:name w:val="header1"/>
    <w:basedOn w:val="DefaultParagraphFont"/>
    <w:rsid w:val="00846124"/>
    <w:rPr>
      <w:rFonts w:ascii="Helvetica" w:hAnsi="Helvetica" w:cs="Helvetica" w:hint="default"/>
      <w:vanish w:val="0"/>
      <w:webHidden w:val="0"/>
      <w:specVanish w:val="0"/>
    </w:rPr>
  </w:style>
  <w:style w:type="character" w:customStyle="1" w:styleId="A9">
    <w:name w:val="A9"/>
    <w:uiPriority w:val="99"/>
    <w:rsid w:val="00B738A3"/>
    <w:rPr>
      <w:rFonts w:cs="Open Sans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qrcengage.com/networklobby/app/thru?ep=AAAAC2Flc0NpcGhlcjAxp33v2I3nlTpiF4qfpl3EugwJNx9fZaJMeM9agpwbEtbx5Ghom3XccrlilnT0R3deOFLvhh6O5V4mhHyHAfgInMM6XjjGshNO7aVgdE3kZ9Z3s8ERwzQzuKMscmpolSQdwQ_6ayS2i3nYJ-lAGmJueUDgB0iu_h32lygeg2U-Ul0&amp;lp=0" TargetMode="External"/><Relationship Id="rId13" Type="http://schemas.openxmlformats.org/officeDocument/2006/relationships/hyperlink" Target="http://click.newsletters.usip.org/?qs=26e25b462b7f8c19284ec8d3c772c8e2455267f029bbce976a47ac5b2cfc211967317223de6fb52b4cbab10d43483bcdb7bfd674d16b7d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fault.salsalabs.org/T4cf4369f-40b6-4c96-8024-508af194b225/b23a3b07-f42b-4982-b37a-1524c63cffae" TargetMode="External"/><Relationship Id="rId12" Type="http://schemas.openxmlformats.org/officeDocument/2006/relationships/hyperlink" Target="http://r.smartbrief.com/resp/lOgOCCjbkDDipHoVCieHdeCicNBOpv?format=multipar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efault.salsalabs.org/T3fc93a78-e87a-4c46-9ab5-c4171f10a973/b23a3b07-f42b-4982-b37a-1524c63cffae" TargetMode="External"/><Relationship Id="rId11" Type="http://schemas.openxmlformats.org/officeDocument/2006/relationships/hyperlink" Target="http://r.smartbrief.com/resp/lLpECCjbkDDioDoTCieHdeCicNzJrS?format=multipart" TargetMode="External"/><Relationship Id="rId5" Type="http://schemas.openxmlformats.org/officeDocument/2006/relationships/hyperlink" Target="https://default.salsalabs.org/T890f1303-484d-45c2-8167-b1ebc9c1e879/b23a3b07-f42b-4982-b37a-1524c63cffae" TargetMode="External"/><Relationship Id="rId15" Type="http://schemas.openxmlformats.org/officeDocument/2006/relationships/hyperlink" Target="https://ted.us1.list-manage.com/track/click?u=07487d1456302a286cf9c4ccc&amp;id=a4d13d1884&amp;e=21df47c728" TargetMode="External"/><Relationship Id="rId10" Type="http://schemas.openxmlformats.org/officeDocument/2006/relationships/hyperlink" Target="http://r.smartbrief.com/resp/lLpECCjbkDDioDoTCieHdeCicNzJrS?format=multipar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upport.nature.org/site/R?i=ybtyDxFuVItJyTHyc6lFTg" TargetMode="External"/><Relationship Id="rId14" Type="http://schemas.openxmlformats.org/officeDocument/2006/relationships/hyperlink" Target="http://click.newsletters.usip.org/?qs=26e25b462b7f8c19ba1aabeeb76d26a98231d803ee53cdec0e1f48e83634ae9ad1bea30ef8833ea717c20406b6fe99e850d833edfa8d8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18</cp:revision>
  <dcterms:created xsi:type="dcterms:W3CDTF">2019-08-30T17:51:00Z</dcterms:created>
  <dcterms:modified xsi:type="dcterms:W3CDTF">2019-09-07T18:21:00Z</dcterms:modified>
</cp:coreProperties>
</file>